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after="20" w:before="0"/>
        <w:jc w:val="center"/>
      </w:pPr>
      <w:r>
        <w:rPr>
          <w:b/>
          <w:i w:val="0"/>
          <w:color w:val="1F2A44"/>
          <w:sz w:val="40"/>
        </w:rPr>
        <w:t>RUPESH SHINDE</w:t>
      </w:r>
    </w:p>
    <w:p>
      <w:pPr>
        <w:keepNext w:val="0"/>
        <w:spacing w:after="20" w:before="0"/>
        <w:jc w:val="center"/>
      </w:pPr>
      <w:r>
        <w:rPr>
          <w:b/>
          <w:i w:val="0"/>
          <w:sz w:val="23"/>
        </w:rPr>
        <w:t>Enterprise Clinical Systems Product Manager</w:t>
      </w:r>
    </w:p>
    <w:p>
      <w:pPr>
        <w:keepNext w:val="0"/>
        <w:spacing w:after="40" w:before="0"/>
        <w:jc w:val="center"/>
        <w:pBdr>
          <w:bottom w:val="single" w:sz="6" w:space="2" w:color="1F2A44"/>
        </w:pBdr>
      </w:pPr>
      <w:r>
        <w:rPr>
          <w:b w:val="0"/>
          <w:i w:val="0"/>
          <w:sz w:val="18"/>
        </w:rPr>
        <w:t>Pune, India  |  +91 96659 92188  |  rupeshshinde07@gmail.com  |  linkedin.com/in/rupesh-shinde-r0102037s  |  rupeshshinde.in</w:t>
      </w:r>
    </w:p>
    <w:p>
      <w:pPr>
        <w:keepNext/>
        <w:spacing w:after="60" w:before="120"/>
        <w:pBdr>
          <w:bottom w:val="single" w:sz="6" w:space="2" w:color="1F2A44"/>
        </w:pBdr>
      </w:pPr>
      <w:r>
        <w:rPr>
          <w:b/>
          <w:i w:val="0"/>
          <w:color w:val="1F2A44"/>
          <w:sz w:val="22"/>
        </w:rPr>
        <w:t>EXECUTIVE SUMMARY</w:t>
      </w:r>
    </w:p>
    <w:p>
      <w:pPr>
        <w:keepNext w:val="0"/>
        <w:spacing w:after="40" w:before="0"/>
        <w:jc w:val="both"/>
      </w:pPr>
      <w:r>
        <w:rPr>
          <w:b w:val="0"/>
          <w:i w:val="0"/>
          <w:sz w:val="20"/>
        </w:rPr>
        <w:t>Clinical systems and digital transformation leader with nearly 19 years governing regulated clinical platforms, enterprise CTMS, and global clinical operations across 20+ countries. Technology Product Manager and CTMS Lead at Novartis — owning Veeva Vault platform strategy, CSV/CSA validation governance, and 21 CFR Part 11 / EU Annex 11 audit readiness while delivering 15–25% operational efficiency gains. Deep GxP and ICH E6 expertise across Phase I–III operations, paired with hands-on delivery of AI-enabled workflow automation and ambient clinical documentation, and an emerging specialism in enterprise AI governance for regulated healthcare. Seeking to lead enterprise clinical-systems modernization, digital transformation, and responsible AI adoption in pharmaceutical and life-sciences organizations.</w:t>
      </w:r>
    </w:p>
    <w:p>
      <w:pPr>
        <w:keepNext/>
        <w:spacing w:after="60" w:before="120"/>
        <w:pBdr>
          <w:bottom w:val="single" w:sz="6" w:space="2" w:color="1F2A44"/>
        </w:pBdr>
      </w:pPr>
      <w:r>
        <w:rPr>
          <w:b/>
          <w:i w:val="0"/>
          <w:color w:val="1F2A44"/>
          <w:sz w:val="22"/>
        </w:rPr>
        <w:t>CORE COMPETENCIES</w:t>
      </w:r>
    </w:p>
    <w:p>
      <w:pPr>
        <w:spacing w:after="60" w:line="240" w:lineRule="auto"/>
        <w:ind w:left="0"/>
      </w:pPr>
      <w:r>
        <w:rPr>
          <w:b/>
          <w:sz w:val="20"/>
        </w:rPr>
        <w:t xml:space="preserve">Healthcare &amp; Clinical Platforms:  </w:t>
      </w:r>
      <w:r>
        <w:rPr>
          <w:sz w:val="20"/>
        </w:rPr>
        <w:t>Enterprise CTMS | Veeva Vault | EDC | eTMF | Clinical Operations | Clinical Trials (Phase I–III) | Digital Health | EHR Integration | HL7 | FHIR</w:t>
      </w:r>
    </w:p>
    <w:p>
      <w:pPr>
        <w:spacing w:after="60" w:line="240" w:lineRule="auto"/>
        <w:ind w:left="0"/>
      </w:pPr>
      <w:r>
        <w:rPr>
          <w:b/>
          <w:sz w:val="20"/>
        </w:rPr>
        <w:t xml:space="preserve">Compliance &amp; Governance:  </w:t>
      </w:r>
      <w:r>
        <w:rPr>
          <w:sz w:val="20"/>
        </w:rPr>
        <w:t>GxP | CSV | CSA | GAMP 5 | 21 CFR Part 11 | EU Annex 11 | ICH E6 GCP | Data Integrity | RBAC | Change Control | SOPs | Validation Governance | Audit Readiness</w:t>
      </w:r>
    </w:p>
    <w:p>
      <w:pPr>
        <w:spacing w:after="60" w:line="240" w:lineRule="auto"/>
        <w:ind w:left="0"/>
      </w:pPr>
      <w:r>
        <w:rPr>
          <w:b/>
          <w:sz w:val="20"/>
        </w:rPr>
        <w:t xml:space="preserve">Leadership &amp; Transformation:  </w:t>
      </w:r>
      <w:r>
        <w:rPr>
          <w:sz w:val="20"/>
        </w:rPr>
        <w:t>Product Strategy | Digital Transformation | Business Analysis | Agile | SDLC | Global Delivery | Vendor Management | Stakeholder Alignment | Budget Ownership | Change Management</w:t>
      </w:r>
    </w:p>
    <w:p>
      <w:pPr>
        <w:spacing w:after="60" w:line="240" w:lineRule="auto"/>
        <w:ind w:left="0"/>
      </w:pPr>
      <w:r>
        <w:rPr>
          <w:b/>
          <w:sz w:val="20"/>
        </w:rPr>
        <w:t xml:space="preserve">AI &amp; Automation:  </w:t>
      </w:r>
      <w:r>
        <w:rPr>
          <w:sz w:val="20"/>
        </w:rPr>
        <w:t>Veeva AI | Generative AI | Agentic AI | Healthcare AI | AI Workflow Automation | Ambient AI | NLP | Prompt Engineering | Retrieval-Augmented Generation (RAG) | OpenAI API | Claude | Python</w:t>
      </w:r>
    </w:p>
    <w:p>
      <w:pPr>
        <w:keepNext/>
        <w:spacing w:after="60" w:before="120"/>
        <w:pBdr>
          <w:bottom w:val="single" w:sz="6" w:space="2" w:color="1F2A44"/>
        </w:pBdr>
      </w:pPr>
      <w:r>
        <w:rPr>
          <w:b/>
          <w:i w:val="0"/>
          <w:color w:val="1F2A44"/>
          <w:sz w:val="22"/>
        </w:rPr>
        <w:t>SCOPE &amp; SCALE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Cross-functional delivery organizations of 40+ members across 3 global regions, with multi-year program budget and vendor ownership.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10+ simultaneous global clinical programs delivered for Fortune 500 pharmaceutical enterprises.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Eight AI and digital products conceived, built and shipped — clinical documentation, emergency coordination, patient engagement and public-sector automation.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4 years United States · 2 years Switzerland · 12+ years India; Hackathon Finalist at Novartis Global HQ, Basel.</w:t>
      </w:r>
    </w:p>
    <w:p>
      <w:pPr>
        <w:keepNext/>
        <w:spacing w:after="60" w:before="120"/>
        <w:pBdr>
          <w:bottom w:val="single" w:sz="6" w:space="2" w:color="1F2A44"/>
        </w:pBdr>
      </w:pPr>
      <w:r>
        <w:rPr>
          <w:b/>
          <w:i w:val="0"/>
          <w:color w:val="1F2A44"/>
          <w:sz w:val="22"/>
        </w:rPr>
        <w:t>PROFESSIONAL EXPERIENCE</w:t>
      </w:r>
    </w:p>
    <w:p>
      <w:pPr>
        <w:keepNext/>
        <w:spacing w:after="20" w:before="100"/>
      </w:pPr>
      <w:r>
        <w:rPr>
          <w:b/>
          <w:i w:val="0"/>
          <w:color w:val="1F2A44"/>
          <w:sz w:val="21"/>
        </w:rPr>
        <w:t>Novartis — Technology Product Manager / CTMS Lead</w:t>
      </w:r>
    </w:p>
    <w:p>
      <w:pPr>
        <w:keepNext/>
        <w:spacing w:after="40" w:before="0"/>
      </w:pPr>
      <w:r>
        <w:rPr>
          <w:b w:val="0"/>
          <w:i/>
          <w:sz w:val="18"/>
        </w:rPr>
        <w:t>2022 – Present  |  Basel, Switzerland &amp; Hyderabad, India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Owned enterprise CTMS product strategy, the multi-year global platform roadmap and change-request governance across 20+ countries, directing clinical-operations modernization at global enterprise scale.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Directed GxP-compliant platform delivery across Business, IT, Quality, and Regulatory functions, scaling AI-enabled workflow automation and Veeva Vault optimization into day-to-day clinical operations.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Established enterprise validation governance under GAMP 5 (Category 4, configured software) — owning CSV/CSA strategy, SOPs and change control, and serving as PQ business lead through UAT and release sign-off — sustaining continuous 21 CFR Part 11 and EU Annex 11 audit readiness.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Governed the Veeva security matrix and role-based access control (RBAC), protecting data integrity across the platform.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Steered the global IMPACT-to-Veeva CTMS migration, the enterprise's core clinical-operations platform transition, while championing AI-driven SIGNAL automation that reduced manual clinical report review.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Drove enterprise adoption of AI-enabled clinical documentation and eTMF workflow transformation — including the Veeva AI proof-of-concept — applying a Responsible-AI lens to adoption decisions in regulated pharmaceutical operations.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Aligned executive and cross-functional stakeholders across Clinical Operations, IT, Quality, and Regulatory, securing agreement on platform priorities and release commitments supporting Phase I–III trial operations.</w:t>
      </w:r>
    </w:p>
    <w:p>
      <w:pPr>
        <w:keepNext/>
        <w:spacing w:after="20" w:before="100"/>
      </w:pPr>
      <w:r>
        <w:rPr>
          <w:b/>
          <w:i w:val="0"/>
          <w:color w:val="1F2A44"/>
          <w:sz w:val="21"/>
        </w:rPr>
        <w:t>Cognizant Technology Solutions — Senior Technology Lead / Product Specialist</w:t>
      </w:r>
    </w:p>
    <w:p>
      <w:pPr>
        <w:keepNext/>
        <w:spacing w:after="40" w:before="0"/>
      </w:pPr>
      <w:r>
        <w:rPr>
          <w:b w:val="0"/>
          <w:i/>
          <w:sz w:val="18"/>
        </w:rPr>
        <w:t>2007 – 2021 (14 years)  |  New Jersey, USA · Basel, Switzerland · India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Directed healthcare technology transformation portfolios for Fortune 500 pharmaceutical enterprises across the US, Europe, and India, owning delivery from business analysis and requirements through UAT, validation and go-live.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Standardized enterprise CTMS implementation, SDLC and validation practices across concurrent global programs, running delivery in both waterfall and Agile models.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Held accountability for on-time delivery in complex, regulated GxP environments, operating onshore-offshore across three regions.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Owned CSV documentation, validation governance, and EDC platform administration across global programs, ensuring full audit readiness for clinical trials.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Modernized clinical data workflows and ETL integration pipelines, improving data quality and operational throughput across enterprise clinical platforms.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Developed talent through structured mentoring in GxP compliance and ICH E6 good clinical practice.</w:t>
      </w:r>
    </w:p>
    <w:p>
      <w:pPr>
        <w:keepNext/>
        <w:spacing w:after="20" w:before="120"/>
      </w:pPr>
      <w:r>
        <w:rPr>
          <w:b/>
          <w:i w:val="0"/>
          <w:color w:val="1F2A44"/>
          <w:sz w:val="21"/>
        </w:rPr>
        <w:t>Independent AI Product Work — AI Product Lead</w:t>
      </w:r>
    </w:p>
    <w:p>
      <w:pPr>
        <w:keepNext/>
        <w:spacing w:after="40" w:before="0"/>
      </w:pPr>
      <w:r>
        <w:rPr>
          <w:b w:val="0"/>
          <w:i/>
          <w:sz w:val="18"/>
        </w:rPr>
        <w:t>2026 – Present  |  Pune, India · Applied AI product work, concurrent with Novartis</w:t>
      </w:r>
    </w:p>
    <w:p>
      <w:pPr>
        <w:keepNext w:val="0"/>
        <w:spacing w:after="80" w:before="0"/>
      </w:pPr>
      <w:r>
        <w:rPr>
          <w:b w:val="0"/>
          <w:i w:val="0"/>
          <w:sz w:val="20"/>
        </w:rPr>
        <w:t>Designs, builds and pilots AI-enabled products using OpenAI APIs, Claude, Python, RAG and agentic AI — each taken from concept through compliance review and release.</w:t>
      </w:r>
    </w:p>
    <w:p>
      <w:pPr>
        <w:keepNext/>
        <w:spacing w:after="40" w:before="40"/>
      </w:pPr>
      <w:r>
        <w:rPr>
          <w:b/>
          <w:i w:val="0"/>
          <w:sz w:val="20"/>
        </w:rPr>
        <w:t>Ongoing Projects</w:t>
      </w:r>
    </w:p>
    <w:p>
      <w:pPr>
        <w:spacing w:after="60" w:line="240" w:lineRule="auto"/>
        <w:ind w:left="230"/>
      </w:pPr>
      <w:r>
        <w:rPr>
          <w:b/>
          <w:sz w:val="20"/>
        </w:rPr>
        <w:t>MediScribe — Ambient AI Clinical Documentation (MVP / Pilot):</w:t>
      </w:r>
      <w:r>
        <w:rPr>
          <w:sz w:val="20"/>
        </w:rPr>
        <w:t xml:space="preserve"> Ambient AI clinical documentation platform designed to reduce physician administrative burden by 90+ minutes/day through automated SOAP note generation, ICD-10 auto-coding, and EHR workflow integration.</w:t>
      </w:r>
    </w:p>
    <w:p>
      <w:pPr>
        <w:spacing w:after="60" w:line="240" w:lineRule="auto"/>
        <w:ind w:left="230"/>
      </w:pPr>
      <w:r>
        <w:rPr>
          <w:b/>
          <w:sz w:val="20"/>
        </w:rPr>
        <w:t>Scanly — Personalized Product Risk Scanner (MVP):</w:t>
      </w:r>
      <w:r>
        <w:rPr>
          <w:sz w:val="20"/>
        </w:rPr>
        <w:t xml:space="preserve"> Barcode-scanning mobile app that assesses product risk against a shopper's health profile across conditions, allergies and dietary needs; built on React Native and Supabase.</w:t>
      </w:r>
    </w:p>
    <w:p>
      <w:pPr>
        <w:spacing w:after="60" w:line="240" w:lineRule="auto"/>
        <w:ind w:left="230"/>
      </w:pPr>
      <w:r>
        <w:rPr>
          <w:b/>
          <w:sz w:val="20"/>
        </w:rPr>
        <w:t>ResQ — AI Emergency Coordination Platform (In Development):</w:t>
      </w:r>
      <w:r>
        <w:rPr>
          <w:sz w:val="20"/>
        </w:rPr>
        <w:t xml:space="preserve"> Intelligent emergency coordination platform with AI-driven triage, smart routing, SOS activation, and offline-first capability for zero-connectivity critical-care environments.</w:t>
      </w:r>
    </w:p>
    <w:p>
      <w:pPr>
        <w:keepNext/>
        <w:spacing w:after="40" w:before="80"/>
      </w:pPr>
      <w:r>
        <w:rPr>
          <w:b/>
          <w:i w:val="0"/>
          <w:sz w:val="20"/>
        </w:rPr>
        <w:t>Completed Projects</w:t>
      </w:r>
    </w:p>
    <w:p>
      <w:pPr>
        <w:spacing w:after="60" w:line="240" w:lineRule="auto"/>
        <w:ind w:left="230"/>
      </w:pPr>
      <w:r>
        <w:rPr>
          <w:b/>
          <w:sz w:val="20"/>
        </w:rPr>
        <w:t>Smiling Hearts (Live):</w:t>
      </w:r>
      <w:r>
        <w:rPr>
          <w:sz w:val="20"/>
        </w:rPr>
        <w:t xml:space="preserve"> Cardiac-care patient-engagement and clinical-workflow platform, delivered with a built-in privacy, consent and medico-legal compliance audit.</w:t>
      </w:r>
    </w:p>
    <w:p>
      <w:pPr>
        <w:spacing w:after="60" w:line="240" w:lineRule="auto"/>
        <w:ind w:left="230"/>
      </w:pPr>
      <w:r>
        <w:rPr>
          <w:b/>
          <w:sz w:val="20"/>
        </w:rPr>
        <w:t>Active Life Orthopaedics (Live):</w:t>
      </w:r>
      <w:r>
        <w:rPr>
          <w:sz w:val="20"/>
        </w:rPr>
        <w:t xml:space="preserve"> Orthopaedic and sports-medicine patient platform — 40% new-patient conversion growth, 4.9-star satisfaction, medico-legal and advertising-compliance audited.</w:t>
      </w:r>
    </w:p>
    <w:p>
      <w:pPr>
        <w:spacing w:after="60" w:line="240" w:lineRule="auto"/>
        <w:ind w:left="230"/>
      </w:pPr>
      <w:r>
        <w:rPr>
          <w:b/>
          <w:sz w:val="20"/>
        </w:rPr>
        <w:t>Government SIR Automation (Delivered):</w:t>
      </w:r>
      <w:r>
        <w:rPr>
          <w:sz w:val="20"/>
        </w:rPr>
        <w:t xml:space="preserve"> QR-based citizen information system with mobile-first capture, automated validation, duplicate detection and reviewer workflow automation.</w:t>
      </w:r>
    </w:p>
    <w:p>
      <w:pPr>
        <w:spacing w:after="60" w:line="240" w:lineRule="auto"/>
        <w:ind w:left="230"/>
      </w:pPr>
      <w:r>
        <w:rPr>
          <w:b/>
          <w:sz w:val="20"/>
        </w:rPr>
        <w:t>SportsIn (Delivered):</w:t>
      </w:r>
      <w:r>
        <w:rPr>
          <w:sz w:val="20"/>
        </w:rPr>
        <w:t xml:space="preserve"> Athlete network platform — score logging across 30+ sports, verified leaderboards, mobile app plus web, taken through full store-release readiness.</w:t>
      </w:r>
    </w:p>
    <w:p>
      <w:pPr>
        <w:spacing w:after="60" w:line="240" w:lineRule="auto"/>
        <w:ind w:left="230"/>
      </w:pPr>
      <w:r>
        <w:rPr>
          <w:b/>
          <w:sz w:val="20"/>
        </w:rPr>
        <w:t>Astitva (Delivered):</w:t>
      </w:r>
      <w:r>
        <w:rPr>
          <w:sz w:val="20"/>
        </w:rPr>
        <w:t xml:space="preserve"> Multilingual social-impact app for India's transgender community — identity documentation guidance, government schemes, health resources and a 24x7 helpline.</w:t>
      </w:r>
    </w:p>
    <w:p>
      <w:pPr>
        <w:keepNext/>
        <w:spacing w:after="60" w:before="120"/>
        <w:pBdr>
          <w:bottom w:val="single" w:sz="6" w:space="2" w:color="1F2A44"/>
        </w:pBdr>
      </w:pPr>
      <w:r>
        <w:rPr>
          <w:b/>
          <w:i w:val="0"/>
          <w:color w:val="1F2A44"/>
          <w:sz w:val="22"/>
        </w:rPr>
        <w:t>AI GOVERNANCE &amp; RESPONSIBLE AI</w:t>
      </w:r>
    </w:p>
    <w:p>
      <w:pPr>
        <w:keepNext w:val="0"/>
        <w:spacing w:after="60" w:before="0"/>
      </w:pPr>
      <w:r>
        <w:rPr>
          <w:b w:val="0"/>
          <w:i w:val="0"/>
          <w:sz w:val="20"/>
        </w:rPr>
        <w:t>Positioning for enterprise AI governance leadership by pairing nearly 19 years of regulated-platform governance with active development of responsible AI practices for healthcare: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Enterprise AI governance and AI operating models — translating GxP platform-governance experience into AI policy, AI controls, and oversight structures across the AI lifecycle.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AI risk management and model governance aligned to the NIST AI Risk Management Framework (AI RMF), with working awareness of ISO/IEC 42001 (AI management systems) and the EU AI Act.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AI risk controls and human oversight (human-in-the-loop) operationalizing Responsible AI principles — fairness, transparency, accountability, and explainability — for clinical decision support.</w:t>
      </w:r>
    </w:p>
    <w:p>
      <w:pPr>
        <w:pStyle w:val="ListBullet"/>
        <w:spacing w:after="40" w:line="240" w:lineRule="auto"/>
        <w:ind w:left="317" w:hanging="230"/>
      </w:pPr>
      <w:r>
        <w:rPr>
          <w:rFonts w:ascii="Calibri" w:hAnsi="Calibri"/>
          <w:sz w:val="20"/>
        </w:rPr>
        <w:t>Regulatory readiness and healthcare AI compliance — extending CSV/CSA, 21 CFR Part 11, and EU Annex 11 validation discipline toward audit-ready, responsibly adopted AI.</w:t>
      </w:r>
    </w:p>
    <w:p>
      <w:pPr>
        <w:keepNext/>
        <w:spacing w:after="60" w:before="120"/>
        <w:pBdr>
          <w:bottom w:val="single" w:sz="6" w:space="2" w:color="1F2A44"/>
        </w:pBdr>
      </w:pPr>
      <w:r>
        <w:rPr>
          <w:b/>
          <w:i w:val="0"/>
          <w:color w:val="1F2A44"/>
          <w:sz w:val="22"/>
        </w:rPr>
        <w:t>CERTIFICATIONS &amp; PROFESSIONAL DEVELOPMENT</w:t>
      </w:r>
    </w:p>
    <w:p>
      <w:pPr>
        <w:spacing w:after="60" w:line="240" w:lineRule="auto"/>
        <w:ind w:left="0"/>
      </w:pPr>
      <w:r>
        <w:rPr>
          <w:b/>
          <w:sz w:val="20"/>
        </w:rPr>
        <w:t xml:space="preserve">Clinical Platforms &amp; Quality:  </w:t>
      </w:r>
      <w:r>
        <w:rPr>
          <w:sz w:val="20"/>
        </w:rPr>
        <w:t>Veeva Vault Platform Business Administrator and Veeva Vault Platform Fundamentals — Veeva Training Services (Jun 2025); Certified Product Owner (Clinical Systems); Six Sigma Green Belt; ITIL Foundation; Oracle SQL Certification.</w:t>
      </w:r>
    </w:p>
    <w:p>
      <w:pPr>
        <w:spacing w:after="60" w:line="240" w:lineRule="auto"/>
        <w:ind w:left="0"/>
      </w:pPr>
      <w:r>
        <w:rPr>
          <w:b/>
          <w:sz w:val="20"/>
        </w:rPr>
        <w:t xml:space="preserve">AI &amp; Governance:  </w:t>
      </w:r>
      <w:r>
        <w:rPr>
          <w:sz w:val="20"/>
        </w:rPr>
        <w:t>AI Governance &amp; Validation in GxP: What Regulators Actually Expect — QARP (Jul 2026); AI in Healthcare — Great Learning (Jul 2026); further agentic-AI and applied-AI programmes at IIT Kanpur (Techkriti 2026) and MIT-WPU Pune (2026).</w:t>
      </w:r>
    </w:p>
    <w:p>
      <w:pPr>
        <w:spacing w:after="60" w:line="240" w:lineRule="auto"/>
        <w:ind w:left="0"/>
      </w:pPr>
      <w:r>
        <w:rPr>
          <w:b/>
          <w:sz w:val="20"/>
        </w:rPr>
        <w:t xml:space="preserve">Leadership:  </w:t>
      </w:r>
      <w:r>
        <w:rPr>
          <w:sz w:val="20"/>
        </w:rPr>
        <w:t>Project Management Advanced Workshop — Educate 360 (Apr 2025); Executive Presence Mastery Bootcamp — Excel360 (Dec 2025).</w:t>
      </w:r>
    </w:p>
    <w:p>
      <w:pPr>
        <w:keepNext/>
        <w:spacing w:after="60" w:before="120"/>
        <w:pBdr>
          <w:bottom w:val="single" w:sz="6" w:space="2" w:color="1F2A44"/>
        </w:pBdr>
      </w:pPr>
      <w:r>
        <w:rPr>
          <w:b/>
          <w:i w:val="0"/>
          <w:color w:val="1F2A44"/>
          <w:sz w:val="22"/>
        </w:rPr>
        <w:t>EDUCATION</w:t>
      </w:r>
    </w:p>
    <w:p>
      <w:pPr>
        <w:spacing w:after="60" w:line="240" w:lineRule="auto"/>
        <w:ind w:left="0"/>
      </w:pPr>
      <w:r>
        <w:rPr>
          <w:b/>
          <w:sz w:val="20"/>
        </w:rPr>
        <w:t xml:space="preserve">Bachelor of Engineering (B.E.):  </w:t>
      </w:r>
      <w:r>
        <w:rPr>
          <w:sz w:val="20"/>
        </w:rPr>
        <w:t>Shivaji University, India  |  Class of 2007</w:t>
      </w:r>
    </w:p>
    <w:sectPr w:rsidR="00FC693F" w:rsidRPr="0006063C" w:rsidSect="00034616">
      <w:pgSz w:w="12240" w:h="15840"/>
      <w:pgMar w:top="648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40" w:lineRule="auto"/>
    </w:pPr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